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8DD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Invitation for Bids</w:t>
      </w:r>
    </w:p>
    <w:p w14:paraId="2ACFE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of Publication:2082/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06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BS</w:t>
      </w:r>
    </w:p>
    <w:p w14:paraId="2E43A6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D0D77B"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Itahari Sub-Metropolitan City Office of the Municipal Executive, Itahari, Sunsari invites</w:t>
      </w:r>
      <w:r>
        <w:rPr>
          <w:rFonts w:hint="default" w:ascii="Times New Roman" w:hAnsi="Times New Roman" w:cs="Times New Roman"/>
          <w:szCs w:val="22"/>
          <w:lang w:val="en-US"/>
        </w:rPr>
        <w:t xml:space="preserve"> &amp; re-invites</w:t>
      </w:r>
      <w:r>
        <w:rPr>
          <w:rFonts w:ascii="Times New Roman" w:hAnsi="Times New Roman" w:cs="Times New Roman"/>
          <w:szCs w:val="22"/>
        </w:rPr>
        <w:t xml:space="preserve"> NCB</w:t>
      </w:r>
      <w:r>
        <w:rPr>
          <w:rFonts w:hint="default" w:ascii="Times New Roman" w:hAnsi="Times New Roman" w:cs="Times New Roman"/>
          <w:szCs w:val="22"/>
          <w:lang w:val="en-US"/>
        </w:rPr>
        <w:t>s &amp; SQ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hint="default" w:ascii="Times New Roman" w:hAnsi="Times New Roman" w:cs="Times New Roman"/>
          <w:szCs w:val="22"/>
          <w:lang w:val="en-US"/>
        </w:rPr>
        <w:t xml:space="preserve">respectively 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>from eligible domestic bidders for the Contracts named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8"/>
        <w:tblW w:w="5079" w:type="pct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750"/>
        <w:gridCol w:w="2100"/>
        <w:gridCol w:w="1638"/>
        <w:gridCol w:w="1012"/>
        <w:gridCol w:w="1225"/>
        <w:gridCol w:w="1188"/>
        <w:gridCol w:w="975"/>
      </w:tblGrid>
      <w:tr w14:paraId="70B6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3" w:type="pct"/>
          </w:tcPr>
          <w:p w14:paraId="2B5BED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S.N.</w:t>
            </w:r>
          </w:p>
        </w:tc>
        <w:tc>
          <w:tcPr>
            <w:tcW w:w="841" w:type="pct"/>
          </w:tcPr>
          <w:p w14:paraId="00BCA1F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Contract Identification Number</w:t>
            </w:r>
          </w:p>
        </w:tc>
        <w:tc>
          <w:tcPr>
            <w:tcW w:w="1010" w:type="pct"/>
          </w:tcPr>
          <w:p w14:paraId="5F9E3195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Work/Description</w:t>
            </w:r>
          </w:p>
        </w:tc>
        <w:tc>
          <w:tcPr>
            <w:tcW w:w="787" w:type="pct"/>
          </w:tcPr>
          <w:p w14:paraId="259D9B73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Estimated Amount (without VAT and contingency but including PS) NRs.</w:t>
            </w:r>
          </w:p>
        </w:tc>
        <w:tc>
          <w:tcPr>
            <w:tcW w:w="486" w:type="pct"/>
          </w:tcPr>
          <w:p w14:paraId="70EC39A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3E9E31E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Price NRs.</w:t>
            </w:r>
          </w:p>
        </w:tc>
        <w:tc>
          <w:tcPr>
            <w:tcW w:w="589" w:type="pct"/>
          </w:tcPr>
          <w:p w14:paraId="1E813CC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Validity  Period/ Bid Security Period</w:t>
            </w:r>
          </w:p>
        </w:tc>
        <w:tc>
          <w:tcPr>
            <w:tcW w:w="571" w:type="pct"/>
          </w:tcPr>
          <w:p w14:paraId="5F057D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Security Amount NRs.</w:t>
            </w:r>
          </w:p>
        </w:tc>
        <w:tc>
          <w:tcPr>
            <w:tcW w:w="468" w:type="pct"/>
          </w:tcPr>
          <w:p w14:paraId="0FEF229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272441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Remarks</w:t>
            </w:r>
          </w:p>
        </w:tc>
      </w:tr>
      <w:tr w14:paraId="5B14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3" w:type="pct"/>
          </w:tcPr>
          <w:p w14:paraId="4E47885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562D55C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1</w:t>
            </w:r>
          </w:p>
        </w:tc>
        <w:tc>
          <w:tcPr>
            <w:tcW w:w="841" w:type="pct"/>
          </w:tcPr>
          <w:p w14:paraId="2E4724A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2440B525"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eastAsia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 xml:space="preserve">ITR/NCB/27W/082/083 </w:t>
            </w:r>
          </w:p>
        </w:tc>
        <w:tc>
          <w:tcPr>
            <w:tcW w:w="1010" w:type="pct"/>
          </w:tcPr>
          <w:p w14:paraId="61721DF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 xml:space="preserve"> Construction of bituminous asphalt concrete road (roads around ward office, badahara), Itahari-18, Sunsari </w:t>
            </w:r>
          </w:p>
        </w:tc>
        <w:tc>
          <w:tcPr>
            <w:tcW w:w="787" w:type="pct"/>
          </w:tcPr>
          <w:p w14:paraId="0CE9A2F5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</w:pPr>
          </w:p>
          <w:p w14:paraId="71C28515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NA</w:t>
            </w:r>
          </w:p>
        </w:tc>
        <w:tc>
          <w:tcPr>
            <w:tcW w:w="486" w:type="pct"/>
          </w:tcPr>
          <w:p w14:paraId="020E27F3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45E7D98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,000.00</w:t>
            </w:r>
          </w:p>
        </w:tc>
        <w:tc>
          <w:tcPr>
            <w:tcW w:w="589" w:type="pct"/>
            <w:vAlign w:val="center"/>
          </w:tcPr>
          <w:p w14:paraId="3EDC629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90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120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 xml:space="preserve"> days</w:t>
            </w:r>
          </w:p>
          <w:p w14:paraId="6A9174A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</w:tc>
        <w:tc>
          <w:tcPr>
            <w:tcW w:w="571" w:type="pct"/>
          </w:tcPr>
          <w:p w14:paraId="6535900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6934E54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1,40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,000.00</w:t>
            </w:r>
          </w:p>
        </w:tc>
        <w:tc>
          <w:tcPr>
            <w:tcW w:w="468" w:type="pct"/>
            <w:vMerge w:val="restart"/>
          </w:tcPr>
          <w:p w14:paraId="7F3467DE">
            <w:pPr>
              <w:pStyle w:val="9"/>
              <w:spacing w:before="240"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2D4C16D4">
            <w:pPr>
              <w:pStyle w:val="9"/>
              <w:spacing w:before="240"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Single-Stage, Single-Envelope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NCB)</w:t>
            </w:r>
          </w:p>
          <w:p w14:paraId="27880EF2">
            <w:pPr>
              <w:pStyle w:val="9"/>
              <w:spacing w:before="240" w:after="0" w:line="240" w:lineRule="auto"/>
              <w:ind w:left="0" w:leftChars="0"/>
              <w:jc w:val="center"/>
              <w:rPr>
                <w:rFonts w:ascii="Times New Roman" w:hAnsi="Times New Roman" w:eastAsia="Arial Unicode MS" w:cs="Times New Roman"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</w:p>
        </w:tc>
      </w:tr>
      <w:tr w14:paraId="30D2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3" w:type="pct"/>
          </w:tcPr>
          <w:p w14:paraId="14E8A717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</w:pPr>
          </w:p>
          <w:p w14:paraId="03D1A8D8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2</w:t>
            </w:r>
          </w:p>
        </w:tc>
        <w:tc>
          <w:tcPr>
            <w:tcW w:w="841" w:type="pct"/>
          </w:tcPr>
          <w:p w14:paraId="58AB36B9">
            <w:pPr>
              <w:pStyle w:val="9"/>
              <w:spacing w:after="0" w:line="240" w:lineRule="auto"/>
              <w:ind w:left="0"/>
              <w:jc w:val="center"/>
              <w:rPr>
                <w:rFonts w:hint="eastAsia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0CF58F2C">
            <w:pPr>
              <w:pStyle w:val="9"/>
              <w:spacing w:after="0" w:line="240" w:lineRule="auto"/>
              <w:ind w:left="0"/>
              <w:jc w:val="both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eastAsia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ITR/NCB/2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8</w:t>
            </w:r>
            <w:r>
              <w:rPr>
                <w:rFonts w:hint="eastAsia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W/082/083</w:t>
            </w:r>
          </w:p>
        </w:tc>
        <w:tc>
          <w:tcPr>
            <w:tcW w:w="1010" w:type="pct"/>
          </w:tcPr>
          <w:p w14:paraId="65F579DE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Construction of bituminous asphalt concrete road inside Army camp premises, Itahari-4, Sunsari</w:t>
            </w:r>
          </w:p>
        </w:tc>
        <w:tc>
          <w:tcPr>
            <w:tcW w:w="787" w:type="pct"/>
            <w:shd w:val="clear" w:color="auto" w:fill="auto"/>
            <w:vAlign w:val="top"/>
          </w:tcPr>
          <w:p w14:paraId="4A927D66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</w:pPr>
          </w:p>
          <w:p w14:paraId="2018FA7E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NA</w:t>
            </w:r>
          </w:p>
        </w:tc>
        <w:tc>
          <w:tcPr>
            <w:tcW w:w="486" w:type="pct"/>
            <w:shd w:val="clear" w:color="auto" w:fill="auto"/>
            <w:vAlign w:val="top"/>
          </w:tcPr>
          <w:p w14:paraId="27AE270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47E8605B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,000.00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F2C36CE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90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120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 xml:space="preserve"> days</w:t>
            </w:r>
          </w:p>
          <w:p w14:paraId="0543666F">
            <w:pPr>
              <w:pStyle w:val="9"/>
              <w:spacing w:after="0" w:line="240" w:lineRule="auto"/>
              <w:ind w:left="0" w:leftChars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</w:p>
        </w:tc>
        <w:tc>
          <w:tcPr>
            <w:tcW w:w="571" w:type="pct"/>
            <w:shd w:val="clear" w:color="auto" w:fill="auto"/>
            <w:vAlign w:val="top"/>
          </w:tcPr>
          <w:p w14:paraId="23E0EA8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71E0F32D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65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,000.00</w:t>
            </w:r>
          </w:p>
        </w:tc>
        <w:tc>
          <w:tcPr>
            <w:tcW w:w="468" w:type="pct"/>
            <w:vMerge w:val="continue"/>
            <w:tcBorders/>
            <w:shd w:val="clear" w:color="auto" w:fill="auto"/>
            <w:vAlign w:val="top"/>
          </w:tcPr>
          <w:p w14:paraId="0E95D012">
            <w:pPr>
              <w:pStyle w:val="9"/>
              <w:spacing w:before="240" w:after="0" w:line="240" w:lineRule="auto"/>
              <w:ind w:left="0" w:leftChars="0"/>
              <w:jc w:val="center"/>
              <w:rPr>
                <w:rFonts w:ascii="Times New Roman" w:hAnsi="Times New Roman" w:eastAsia="Arial Unicode MS" w:cs="Times New Roman"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</w:p>
        </w:tc>
      </w:tr>
      <w:tr w14:paraId="520AA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3" w:type="pct"/>
          </w:tcPr>
          <w:p w14:paraId="4606A40F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</w:pPr>
          </w:p>
          <w:p w14:paraId="7B2BBB28">
            <w:pPr>
              <w:pStyle w:val="9"/>
              <w:spacing w:after="0" w:line="240" w:lineRule="auto"/>
              <w:ind w:left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3</w:t>
            </w:r>
          </w:p>
        </w:tc>
        <w:tc>
          <w:tcPr>
            <w:tcW w:w="841" w:type="pct"/>
            <w:shd w:val="clear"/>
            <w:vAlign w:val="top"/>
          </w:tcPr>
          <w:p w14:paraId="52A0F47A">
            <w:pPr>
              <w:pStyle w:val="9"/>
              <w:spacing w:after="0" w:line="240" w:lineRule="auto"/>
              <w:ind w:left="0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77558822">
            <w:pPr>
              <w:pStyle w:val="9"/>
              <w:spacing w:after="0" w:line="240" w:lineRule="auto"/>
              <w:ind w:left="0" w:leftChars="0"/>
              <w:rPr>
                <w:rFonts w:hint="eastAsia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ITR/SQ/13W/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082/083</w:t>
            </w:r>
          </w:p>
        </w:tc>
        <w:tc>
          <w:tcPr>
            <w:tcW w:w="1010" w:type="pct"/>
            <w:shd w:val="clear"/>
            <w:vAlign w:val="top"/>
          </w:tcPr>
          <w:p w14:paraId="021B03BC">
            <w:pPr>
              <w:pStyle w:val="9"/>
              <w:spacing w:after="0" w:line="240" w:lineRule="auto"/>
              <w:ind w:left="0" w:leftChars="0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Construction of Truss Works at Khanar Agriculture Market, Itahari-12, Sunsari</w:t>
            </w:r>
          </w:p>
        </w:tc>
        <w:tc>
          <w:tcPr>
            <w:tcW w:w="787" w:type="pct"/>
            <w:shd w:val="clear"/>
            <w:vAlign w:val="top"/>
          </w:tcPr>
          <w:p w14:paraId="25B005E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3E76CDC8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13,14,514.61</w:t>
            </w:r>
          </w:p>
        </w:tc>
        <w:tc>
          <w:tcPr>
            <w:tcW w:w="486" w:type="pct"/>
            <w:shd w:val="clear"/>
            <w:vAlign w:val="top"/>
          </w:tcPr>
          <w:p w14:paraId="640EAF43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4E238C26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1,000.00</w:t>
            </w:r>
          </w:p>
        </w:tc>
        <w:tc>
          <w:tcPr>
            <w:tcW w:w="589" w:type="pct"/>
            <w:shd w:val="clear"/>
            <w:vAlign w:val="center"/>
          </w:tcPr>
          <w:p w14:paraId="17F105D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45/75 days</w:t>
            </w:r>
          </w:p>
          <w:p w14:paraId="5516EEC2">
            <w:pPr>
              <w:pStyle w:val="9"/>
              <w:spacing w:after="0" w:line="240" w:lineRule="auto"/>
              <w:ind w:left="0" w:leftChars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</w:p>
        </w:tc>
        <w:tc>
          <w:tcPr>
            <w:tcW w:w="571" w:type="pct"/>
            <w:shd w:val="clear"/>
            <w:vAlign w:val="top"/>
          </w:tcPr>
          <w:p w14:paraId="6D4274E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</w:pPr>
          </w:p>
          <w:p w14:paraId="322F176B">
            <w:pPr>
              <w:pStyle w:val="9"/>
              <w:spacing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 w:eastAsia="en-US" w:bidi="ne-NP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</w:rPr>
              <w:t>32,000.00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65BA2000">
            <w:pPr>
              <w:pStyle w:val="9"/>
              <w:spacing w:before="240" w:after="0" w:line="240" w:lineRule="auto"/>
              <w:ind w:left="0" w:leftChars="0"/>
              <w:jc w:val="center"/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16"/>
                <w:szCs w:val="16"/>
                <w:lang w:val="en-US"/>
              </w:rPr>
              <w:t>Sealed Quotation (Retender)</w:t>
            </w:r>
          </w:p>
        </w:tc>
      </w:tr>
    </w:tbl>
    <w:p w14:paraId="3D75D07D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36F1432F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Bidder Shall have the option of submitting their bids electronically only. Submission of Hard Copy bids shall not be entertained.</w:t>
      </w:r>
    </w:p>
    <w:p w14:paraId="1D393A0A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Matters not Covered in the notice shall be accordance with prevailing rules and regulation of GoN.</w:t>
      </w:r>
    </w:p>
    <w:p w14:paraId="2712E59D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Any amendments in this Tender notice will be posted in the notice board of Itahari Sub-Metropolitan City, Office of the Municipal Executive or may Visit PPMO e-GP System at www.bolpatra.gov.np/egp.</w:t>
      </w:r>
    </w:p>
    <w:p w14:paraId="0D866F9A">
      <w:pPr>
        <w:rPr>
          <w:rFonts w:ascii="Times New Roman" w:hAnsi="Times New Roman" w:cs="Times New Roman"/>
          <w:szCs w:val="22"/>
        </w:rPr>
      </w:pPr>
    </w:p>
    <w:sectPr>
      <w:headerReference r:id="rId5" w:type="default"/>
      <w:pgSz w:w="11906" w:h="16838"/>
      <w:pgMar w:top="630" w:right="810" w:bottom="1440" w:left="1080" w:header="36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Preet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imati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A92B">
    <w:pPr>
      <w:spacing w:after="0"/>
      <w:jc w:val="center"/>
      <w:rPr>
        <w:rFonts w:ascii="Times New Roman" w:hAnsi="Times New Roman" w:cs="Times New Roman"/>
        <w:b/>
        <w:bCs/>
        <w:sz w:val="48"/>
        <w:szCs w:val="44"/>
      </w:rPr>
    </w:pPr>
  </w:p>
  <w:p w14:paraId="6EBB734E">
    <w:pPr>
      <w:spacing w:after="0"/>
      <w:jc w:val="center"/>
      <w:rPr>
        <w:rFonts w:ascii="Times New Roman" w:hAnsi="Times New Roman" w:cs="Times New Roman"/>
        <w:b/>
        <w:bCs/>
        <w:sz w:val="48"/>
        <w:szCs w:val="44"/>
      </w:rPr>
    </w:pPr>
    <w:r>
      <w:rPr>
        <w:rFonts w:ascii="Preeti" w:hAnsi="Preeti" w:cs="Kalimati"/>
        <w:b/>
        <w:bCs/>
        <w:sz w:val="48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90170</wp:posOffset>
          </wp:positionV>
          <wp:extent cx="1152525" cy="9671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8"/>
        <w:szCs w:val="44"/>
      </w:rPr>
      <w:t>Itahari Sub-Metropolitan City</w:t>
    </w:r>
  </w:p>
  <w:p w14:paraId="77BD80D8">
    <w:pPr>
      <w:spacing w:after="0"/>
      <w:jc w:val="center"/>
      <w:rPr>
        <w:rFonts w:ascii="Times New Roman" w:hAnsi="Times New Roman" w:cs="Times New Roman"/>
        <w:b/>
        <w:bCs/>
        <w:sz w:val="36"/>
        <w:szCs w:val="32"/>
      </w:rPr>
    </w:pPr>
    <w:r>
      <w:rPr>
        <w:rFonts w:ascii="Times New Roman" w:hAnsi="Times New Roman" w:cs="Times New Roman"/>
        <w:b/>
        <w:bCs/>
        <w:sz w:val="36"/>
        <w:szCs w:val="32"/>
      </w:rPr>
      <w:t>Office of the Municipal Executive</w:t>
    </w:r>
  </w:p>
  <w:p w14:paraId="3A163F84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val="pt-BR"/>
      </w:rPr>
    </w:pPr>
    <w:r>
      <w:rPr>
        <w:rFonts w:ascii="Times New Roman" w:hAnsi="Times New Roman" w:cs="Times New Roman"/>
        <w:b/>
        <w:bCs/>
        <w:sz w:val="32"/>
        <w:szCs w:val="28"/>
        <w:lang w:val="pt-BR"/>
      </w:rPr>
      <w:t>Itahari, Sunsari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20B38"/>
    <w:multiLevelType w:val="multilevel"/>
    <w:tmpl w:val="0EF20B3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7IwNzQxNbYwNDFT0lEKTi0uzszPAykwrAUAUNpskiwAAAA="/>
  </w:docVars>
  <w:rsids>
    <w:rsidRoot w:val="00172A27"/>
    <w:rsid w:val="0000187B"/>
    <w:rsid w:val="00006B23"/>
    <w:rsid w:val="000110C5"/>
    <w:rsid w:val="00012908"/>
    <w:rsid w:val="0001563B"/>
    <w:rsid w:val="000257C1"/>
    <w:rsid w:val="00035D64"/>
    <w:rsid w:val="00041EBE"/>
    <w:rsid w:val="000463C2"/>
    <w:rsid w:val="000510AC"/>
    <w:rsid w:val="00051F03"/>
    <w:rsid w:val="0005685E"/>
    <w:rsid w:val="00064B1B"/>
    <w:rsid w:val="000672B1"/>
    <w:rsid w:val="00083285"/>
    <w:rsid w:val="00084AE5"/>
    <w:rsid w:val="00095421"/>
    <w:rsid w:val="000A30E7"/>
    <w:rsid w:val="000B72B8"/>
    <w:rsid w:val="000C19D7"/>
    <w:rsid w:val="000C2BC1"/>
    <w:rsid w:val="000C3455"/>
    <w:rsid w:val="000C47B8"/>
    <w:rsid w:val="000C5FA7"/>
    <w:rsid w:val="000E66EB"/>
    <w:rsid w:val="00103CC2"/>
    <w:rsid w:val="00113569"/>
    <w:rsid w:val="00114B2C"/>
    <w:rsid w:val="0014527C"/>
    <w:rsid w:val="00145C42"/>
    <w:rsid w:val="00154688"/>
    <w:rsid w:val="00167B73"/>
    <w:rsid w:val="0017555B"/>
    <w:rsid w:val="001854E6"/>
    <w:rsid w:val="001A2995"/>
    <w:rsid w:val="001A3556"/>
    <w:rsid w:val="001A4698"/>
    <w:rsid w:val="001B0A3C"/>
    <w:rsid w:val="001C74BE"/>
    <w:rsid w:val="001D5ADA"/>
    <w:rsid w:val="001F7B96"/>
    <w:rsid w:val="002048A9"/>
    <w:rsid w:val="002054EE"/>
    <w:rsid w:val="00211289"/>
    <w:rsid w:val="00212F54"/>
    <w:rsid w:val="00215B64"/>
    <w:rsid w:val="00223A41"/>
    <w:rsid w:val="002248C2"/>
    <w:rsid w:val="0022497B"/>
    <w:rsid w:val="002377FC"/>
    <w:rsid w:val="00241906"/>
    <w:rsid w:val="00247EEB"/>
    <w:rsid w:val="0025036C"/>
    <w:rsid w:val="00252EFF"/>
    <w:rsid w:val="00264418"/>
    <w:rsid w:val="002651EA"/>
    <w:rsid w:val="002744FA"/>
    <w:rsid w:val="00282932"/>
    <w:rsid w:val="00285D54"/>
    <w:rsid w:val="002A1FFE"/>
    <w:rsid w:val="002A6AA9"/>
    <w:rsid w:val="002B0DD5"/>
    <w:rsid w:val="002B32AA"/>
    <w:rsid w:val="002B3827"/>
    <w:rsid w:val="002B4F48"/>
    <w:rsid w:val="002C5503"/>
    <w:rsid w:val="002D300B"/>
    <w:rsid w:val="002E27EB"/>
    <w:rsid w:val="002F6F6A"/>
    <w:rsid w:val="00302E9E"/>
    <w:rsid w:val="0030723F"/>
    <w:rsid w:val="00315C2C"/>
    <w:rsid w:val="0033388A"/>
    <w:rsid w:val="00354727"/>
    <w:rsid w:val="003557B7"/>
    <w:rsid w:val="0036305D"/>
    <w:rsid w:val="0039161F"/>
    <w:rsid w:val="00392C96"/>
    <w:rsid w:val="00394C26"/>
    <w:rsid w:val="003A0EAB"/>
    <w:rsid w:val="003A1BE3"/>
    <w:rsid w:val="003A48B8"/>
    <w:rsid w:val="003B793E"/>
    <w:rsid w:val="003C2665"/>
    <w:rsid w:val="003D7A77"/>
    <w:rsid w:val="003E1460"/>
    <w:rsid w:val="003E4CAA"/>
    <w:rsid w:val="003F3C71"/>
    <w:rsid w:val="003F6EBC"/>
    <w:rsid w:val="004015E1"/>
    <w:rsid w:val="00401B6C"/>
    <w:rsid w:val="00402D3C"/>
    <w:rsid w:val="00407349"/>
    <w:rsid w:val="00417B65"/>
    <w:rsid w:val="004333A8"/>
    <w:rsid w:val="00433F45"/>
    <w:rsid w:val="00437B67"/>
    <w:rsid w:val="004420E4"/>
    <w:rsid w:val="00467D56"/>
    <w:rsid w:val="004746E8"/>
    <w:rsid w:val="004828A6"/>
    <w:rsid w:val="00483EC6"/>
    <w:rsid w:val="00486C44"/>
    <w:rsid w:val="0048733B"/>
    <w:rsid w:val="00496BBF"/>
    <w:rsid w:val="004A3560"/>
    <w:rsid w:val="004B29C4"/>
    <w:rsid w:val="004B5D7C"/>
    <w:rsid w:val="004B63DF"/>
    <w:rsid w:val="004C1923"/>
    <w:rsid w:val="004C3298"/>
    <w:rsid w:val="004C5192"/>
    <w:rsid w:val="004D336E"/>
    <w:rsid w:val="004D3C79"/>
    <w:rsid w:val="004D755C"/>
    <w:rsid w:val="004D7E4A"/>
    <w:rsid w:val="004F1840"/>
    <w:rsid w:val="005076E4"/>
    <w:rsid w:val="00532794"/>
    <w:rsid w:val="005403FE"/>
    <w:rsid w:val="005409B7"/>
    <w:rsid w:val="00544049"/>
    <w:rsid w:val="00555DE9"/>
    <w:rsid w:val="00570E19"/>
    <w:rsid w:val="00570EC0"/>
    <w:rsid w:val="0058698F"/>
    <w:rsid w:val="00593BF4"/>
    <w:rsid w:val="0059443C"/>
    <w:rsid w:val="005A42D0"/>
    <w:rsid w:val="005A6E72"/>
    <w:rsid w:val="005A7318"/>
    <w:rsid w:val="005C220A"/>
    <w:rsid w:val="005D5325"/>
    <w:rsid w:val="005E5D31"/>
    <w:rsid w:val="00605CB7"/>
    <w:rsid w:val="00606F73"/>
    <w:rsid w:val="00615E3A"/>
    <w:rsid w:val="0062373F"/>
    <w:rsid w:val="00626203"/>
    <w:rsid w:val="00636F82"/>
    <w:rsid w:val="006454F3"/>
    <w:rsid w:val="00650467"/>
    <w:rsid w:val="00654C7E"/>
    <w:rsid w:val="0066270A"/>
    <w:rsid w:val="00665E64"/>
    <w:rsid w:val="00671EB2"/>
    <w:rsid w:val="006901C5"/>
    <w:rsid w:val="006944AF"/>
    <w:rsid w:val="00696D07"/>
    <w:rsid w:val="006B22A2"/>
    <w:rsid w:val="006E3C7B"/>
    <w:rsid w:val="006E430D"/>
    <w:rsid w:val="006F5923"/>
    <w:rsid w:val="00702216"/>
    <w:rsid w:val="007117B7"/>
    <w:rsid w:val="00722C26"/>
    <w:rsid w:val="007403E7"/>
    <w:rsid w:val="007503F8"/>
    <w:rsid w:val="0075587E"/>
    <w:rsid w:val="00761264"/>
    <w:rsid w:val="007612D5"/>
    <w:rsid w:val="00762622"/>
    <w:rsid w:val="00767289"/>
    <w:rsid w:val="0077683B"/>
    <w:rsid w:val="00791CFE"/>
    <w:rsid w:val="0079610D"/>
    <w:rsid w:val="007978FF"/>
    <w:rsid w:val="007A50B0"/>
    <w:rsid w:val="007B46C5"/>
    <w:rsid w:val="007C4F57"/>
    <w:rsid w:val="007D4FB2"/>
    <w:rsid w:val="007E7B8A"/>
    <w:rsid w:val="008019AA"/>
    <w:rsid w:val="0080702A"/>
    <w:rsid w:val="00814874"/>
    <w:rsid w:val="0082072D"/>
    <w:rsid w:val="00824DA1"/>
    <w:rsid w:val="00826BAE"/>
    <w:rsid w:val="0083416A"/>
    <w:rsid w:val="00837498"/>
    <w:rsid w:val="00851C42"/>
    <w:rsid w:val="00857D8E"/>
    <w:rsid w:val="0086722E"/>
    <w:rsid w:val="00882DC9"/>
    <w:rsid w:val="008961D2"/>
    <w:rsid w:val="008A42D8"/>
    <w:rsid w:val="008B0307"/>
    <w:rsid w:val="008B1B37"/>
    <w:rsid w:val="008B3C37"/>
    <w:rsid w:val="008C40AA"/>
    <w:rsid w:val="008D017A"/>
    <w:rsid w:val="008F5E98"/>
    <w:rsid w:val="008F634F"/>
    <w:rsid w:val="00902B92"/>
    <w:rsid w:val="009068BA"/>
    <w:rsid w:val="00917740"/>
    <w:rsid w:val="00934765"/>
    <w:rsid w:val="00934E97"/>
    <w:rsid w:val="009517A9"/>
    <w:rsid w:val="00963CB8"/>
    <w:rsid w:val="00977DBC"/>
    <w:rsid w:val="00991B93"/>
    <w:rsid w:val="009A0066"/>
    <w:rsid w:val="009A007D"/>
    <w:rsid w:val="009A7787"/>
    <w:rsid w:val="009C11F6"/>
    <w:rsid w:val="009D5337"/>
    <w:rsid w:val="009D7C27"/>
    <w:rsid w:val="009F42CD"/>
    <w:rsid w:val="009F760E"/>
    <w:rsid w:val="009F7B1E"/>
    <w:rsid w:val="00A03787"/>
    <w:rsid w:val="00A145C6"/>
    <w:rsid w:val="00A35F47"/>
    <w:rsid w:val="00A3742B"/>
    <w:rsid w:val="00A37451"/>
    <w:rsid w:val="00A6135F"/>
    <w:rsid w:val="00A65978"/>
    <w:rsid w:val="00A70AAF"/>
    <w:rsid w:val="00A71510"/>
    <w:rsid w:val="00A73E63"/>
    <w:rsid w:val="00A760E4"/>
    <w:rsid w:val="00A867BC"/>
    <w:rsid w:val="00A93672"/>
    <w:rsid w:val="00A94B64"/>
    <w:rsid w:val="00A95882"/>
    <w:rsid w:val="00AA5260"/>
    <w:rsid w:val="00AA6B4F"/>
    <w:rsid w:val="00AB3068"/>
    <w:rsid w:val="00AB690F"/>
    <w:rsid w:val="00AC55D9"/>
    <w:rsid w:val="00AD69C1"/>
    <w:rsid w:val="00AE5A6B"/>
    <w:rsid w:val="00AF6A52"/>
    <w:rsid w:val="00AF739C"/>
    <w:rsid w:val="00B03C92"/>
    <w:rsid w:val="00B17DBD"/>
    <w:rsid w:val="00B26017"/>
    <w:rsid w:val="00B302FD"/>
    <w:rsid w:val="00B31D7E"/>
    <w:rsid w:val="00B35CDA"/>
    <w:rsid w:val="00B465CC"/>
    <w:rsid w:val="00B469AB"/>
    <w:rsid w:val="00B51869"/>
    <w:rsid w:val="00B773C4"/>
    <w:rsid w:val="00B77776"/>
    <w:rsid w:val="00B878E5"/>
    <w:rsid w:val="00B951F9"/>
    <w:rsid w:val="00BC48BC"/>
    <w:rsid w:val="00BD526C"/>
    <w:rsid w:val="00BF324F"/>
    <w:rsid w:val="00BF45E0"/>
    <w:rsid w:val="00BF52DA"/>
    <w:rsid w:val="00C01A38"/>
    <w:rsid w:val="00C25247"/>
    <w:rsid w:val="00C315C6"/>
    <w:rsid w:val="00C40668"/>
    <w:rsid w:val="00C428DD"/>
    <w:rsid w:val="00C47EA0"/>
    <w:rsid w:val="00C52DFE"/>
    <w:rsid w:val="00C57D32"/>
    <w:rsid w:val="00C60D63"/>
    <w:rsid w:val="00C62923"/>
    <w:rsid w:val="00C654FF"/>
    <w:rsid w:val="00C66BD8"/>
    <w:rsid w:val="00C7511E"/>
    <w:rsid w:val="00C92498"/>
    <w:rsid w:val="00C94982"/>
    <w:rsid w:val="00CA020F"/>
    <w:rsid w:val="00CE7921"/>
    <w:rsid w:val="00CF1404"/>
    <w:rsid w:val="00CF1B40"/>
    <w:rsid w:val="00CF2A72"/>
    <w:rsid w:val="00D23DF8"/>
    <w:rsid w:val="00D24839"/>
    <w:rsid w:val="00D24BA4"/>
    <w:rsid w:val="00D30335"/>
    <w:rsid w:val="00D306E5"/>
    <w:rsid w:val="00D308CB"/>
    <w:rsid w:val="00D41706"/>
    <w:rsid w:val="00D4358B"/>
    <w:rsid w:val="00D524A9"/>
    <w:rsid w:val="00D53803"/>
    <w:rsid w:val="00D56317"/>
    <w:rsid w:val="00D640D4"/>
    <w:rsid w:val="00D651EE"/>
    <w:rsid w:val="00D844E2"/>
    <w:rsid w:val="00D909EB"/>
    <w:rsid w:val="00D968E1"/>
    <w:rsid w:val="00DA471A"/>
    <w:rsid w:val="00DB33F3"/>
    <w:rsid w:val="00DB4A46"/>
    <w:rsid w:val="00DD11F6"/>
    <w:rsid w:val="00DD1B58"/>
    <w:rsid w:val="00DE7644"/>
    <w:rsid w:val="00DF0029"/>
    <w:rsid w:val="00DF1F8E"/>
    <w:rsid w:val="00DF6854"/>
    <w:rsid w:val="00E05CB1"/>
    <w:rsid w:val="00E06952"/>
    <w:rsid w:val="00E12C13"/>
    <w:rsid w:val="00E22D81"/>
    <w:rsid w:val="00E2453B"/>
    <w:rsid w:val="00E24D60"/>
    <w:rsid w:val="00E24D7C"/>
    <w:rsid w:val="00E52A48"/>
    <w:rsid w:val="00E62862"/>
    <w:rsid w:val="00E63673"/>
    <w:rsid w:val="00E771F8"/>
    <w:rsid w:val="00E80EE3"/>
    <w:rsid w:val="00E83969"/>
    <w:rsid w:val="00E87454"/>
    <w:rsid w:val="00E915A5"/>
    <w:rsid w:val="00EA6FD5"/>
    <w:rsid w:val="00EC3333"/>
    <w:rsid w:val="00EC543A"/>
    <w:rsid w:val="00ED20EF"/>
    <w:rsid w:val="00ED7CB2"/>
    <w:rsid w:val="00EE4408"/>
    <w:rsid w:val="00F000B5"/>
    <w:rsid w:val="00F117F8"/>
    <w:rsid w:val="00F12840"/>
    <w:rsid w:val="00F14E57"/>
    <w:rsid w:val="00F17FA7"/>
    <w:rsid w:val="00F218A9"/>
    <w:rsid w:val="00F21DE5"/>
    <w:rsid w:val="00F32E27"/>
    <w:rsid w:val="00F34F94"/>
    <w:rsid w:val="00F3652C"/>
    <w:rsid w:val="00F44C10"/>
    <w:rsid w:val="00F4686A"/>
    <w:rsid w:val="00F47F58"/>
    <w:rsid w:val="00F55C54"/>
    <w:rsid w:val="00F56FE3"/>
    <w:rsid w:val="00F621E5"/>
    <w:rsid w:val="00F672AA"/>
    <w:rsid w:val="00F72A5E"/>
    <w:rsid w:val="00F7709E"/>
    <w:rsid w:val="00F82F28"/>
    <w:rsid w:val="00FB1300"/>
    <w:rsid w:val="00FB3706"/>
    <w:rsid w:val="00FC6EED"/>
    <w:rsid w:val="00FC7A48"/>
    <w:rsid w:val="00FD533C"/>
    <w:rsid w:val="00FE230D"/>
    <w:rsid w:val="051E7C51"/>
    <w:rsid w:val="22D23097"/>
    <w:rsid w:val="378150AA"/>
    <w:rsid w:val="45F05CCE"/>
    <w:rsid w:val="4C6E5771"/>
    <w:rsid w:val="5E326D1B"/>
    <w:rsid w:val="5FA81111"/>
    <w:rsid w:val="681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EastAsia"/>
      <w:sz w:val="22"/>
      <w:lang w:val="en-US" w:eastAsia="en-US" w:bidi="ne-NP"/>
    </w:rPr>
  </w:style>
  <w:style w:type="paragraph" w:styleId="2">
    <w:name w:val="heading 2"/>
    <w:basedOn w:val="1"/>
    <w:link w:val="13"/>
    <w:unhideWhenUsed/>
    <w:qFormat/>
    <w:uiPriority w:val="9"/>
    <w:pPr>
      <w:widowControl w:val="0"/>
      <w:autoSpaceDE w:val="0"/>
      <w:autoSpaceDN w:val="0"/>
      <w:spacing w:after="0" w:line="240" w:lineRule="auto"/>
      <w:ind w:left="198" w:right="20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44"/>
      <w:szCs w:val="44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6"/>
    </w:rPr>
  </w:style>
  <w:style w:type="character" w:customStyle="1" w:styleId="11">
    <w:name w:val="Header Char"/>
    <w:basedOn w:val="3"/>
    <w:link w:val="7"/>
    <w:qFormat/>
    <w:uiPriority w:val="99"/>
    <w:rPr>
      <w:rFonts w:cs="Mangal"/>
    </w:rPr>
  </w:style>
  <w:style w:type="character" w:customStyle="1" w:styleId="12">
    <w:name w:val="Footer Char"/>
    <w:basedOn w:val="3"/>
    <w:link w:val="6"/>
    <w:uiPriority w:val="99"/>
    <w:rPr>
      <w:rFonts w:cs="Mangal"/>
    </w:rPr>
  </w:style>
  <w:style w:type="character" w:customStyle="1" w:styleId="13">
    <w:name w:val="Heading 2 Char"/>
    <w:basedOn w:val="3"/>
    <w:link w:val="2"/>
    <w:uiPriority w:val="9"/>
    <w:rPr>
      <w:rFonts w:ascii="Times New Roman" w:hAnsi="Times New Roman" w:eastAsia="Times New Roman" w:cs="Times New Roman"/>
      <w:b/>
      <w:bCs/>
      <w:i/>
      <w:iCs/>
      <w:sz w:val="44"/>
      <w:szCs w:val="44"/>
      <w:lang w:bidi="ar-SA"/>
    </w:rPr>
  </w:style>
  <w:style w:type="paragraph" w:customStyle="1" w:styleId="1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D736-CA89-4821-8610-EAF601FF8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1078</Characters>
  <Lines>8</Lines>
  <Paragraphs>2</Paragraphs>
  <TotalTime>2</TotalTime>
  <ScaleCrop>false</ScaleCrop>
  <LinksUpToDate>false</LinksUpToDate>
  <CharactersWithSpaces>1264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2024-07-14T14:50:00Z</dcterms:created>
  <dc:creator>dell</dc:creator>
  <cp:lastModifiedBy>DeLL</cp:lastModifiedBy>
  <cp:lastPrinted>2022-11-16T09:31:00Z</cp:lastPrinted>
  <dcterms:modified xsi:type="dcterms:W3CDTF">2026-01-18T09:07:22Z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EAC4D6BE8D2C44A1B581BFD244B70566_12</vt:lpwstr>
  </property>
</Properties>
</file>